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3A" w:rsidRDefault="00FF652B">
      <w:pPr>
        <w:jc w:val="center"/>
        <w:rPr>
          <w:rFonts w:ascii="Batang" w:eastAsia="Batang" w:hAnsi="Batang" w:cs="Batang"/>
          <w:b/>
          <w:bCs/>
          <w:color w:val="0070C0"/>
          <w:sz w:val="40"/>
          <w:szCs w:val="40"/>
          <w:lang w:eastAsia="ko-KR"/>
        </w:rPr>
      </w:pPr>
      <w:r>
        <w:rPr>
          <w:rFonts w:ascii="Batang" w:eastAsia="Batang" w:hAnsi="Batang" w:cs="Batang" w:hint="eastAsia"/>
          <w:b/>
          <w:bCs/>
          <w:color w:val="0070C0"/>
          <w:sz w:val="40"/>
          <w:szCs w:val="40"/>
          <w:lang w:eastAsia="ko-KR"/>
        </w:rPr>
        <w:t>학교</w:t>
      </w:r>
      <w:r>
        <w:rPr>
          <w:rFonts w:ascii="Batang" w:eastAsia="Batang" w:hAnsi="Batang" w:cs="Batang" w:hint="eastAsia"/>
          <w:b/>
          <w:bCs/>
          <w:color w:val="0070C0"/>
          <w:sz w:val="40"/>
          <w:szCs w:val="40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0070C0"/>
          <w:sz w:val="40"/>
          <w:szCs w:val="40"/>
          <w:lang w:eastAsia="ko-KR"/>
        </w:rPr>
        <w:t>계좌번호</w:t>
      </w:r>
    </w:p>
    <w:p w:rsidR="00355D3A" w:rsidRDefault="00FF652B">
      <w:pPr>
        <w:jc w:val="left"/>
        <w:rPr>
          <w:rFonts w:ascii="宋体" w:eastAsia="宋体" w:hAnsi="宋体"/>
          <w:color w:val="C45911" w:themeColor="accent2" w:themeShade="BF"/>
          <w:sz w:val="22"/>
          <w:lang w:eastAsia="ko-KR"/>
        </w:rPr>
      </w:pP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해외송금은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미화로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송금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중국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국내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>(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대만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홍콩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마카오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제외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)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송금은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인민폐만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 w:val="24"/>
          <w:szCs w:val="24"/>
          <w:lang w:eastAsia="ko-KR"/>
        </w:rPr>
        <w:t>가능합니다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  <w:lang w:eastAsia="ko-KR"/>
        </w:rPr>
        <w:t xml:space="preserve">. </w:t>
      </w:r>
    </w:p>
    <w:p w:rsidR="00355D3A" w:rsidRDefault="00FF652B">
      <w:pPr>
        <w:suppressAutoHyphens/>
        <w:rPr>
          <w:rFonts w:ascii="黑体" w:eastAsia="Malgun Gothic" w:hAnsi="宋体" w:cs="Times New Roman"/>
          <w:b/>
          <w:color w:val="767171" w:themeColor="background2" w:themeShade="80"/>
          <w:kern w:val="0"/>
          <w:sz w:val="24"/>
          <w:szCs w:val="24"/>
          <w:lang w:eastAsia="ko-KR"/>
        </w:rPr>
      </w:pP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중국국내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송금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시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C45911" w:themeColor="accent2" w:themeShade="BF"/>
          <w:kern w:val="0"/>
          <w:sz w:val="28"/>
          <w:szCs w:val="28"/>
          <w:lang w:eastAsia="ko-KR"/>
        </w:rPr>
        <w:t>인민폐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계좌</w:t>
      </w:r>
      <w:r>
        <w:rPr>
          <w:rFonts w:ascii="黑体" w:eastAsia="宋体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송금</w:t>
      </w:r>
      <w:r>
        <w:rPr>
          <w:rFonts w:ascii="Malgun Gothic" w:eastAsia="Malgun Gothic" w:hAnsi="Malgun Gothic" w:cs="Malgun Gothic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color w:val="767171" w:themeColor="background2" w:themeShade="80"/>
          <w:kern w:val="0"/>
          <w:sz w:val="24"/>
          <w:szCs w:val="24"/>
          <w:lang w:eastAsia="ko-KR"/>
        </w:rPr>
        <w:t>계좌</w:t>
      </w:r>
      <w:r>
        <w:rPr>
          <w:rFonts w:ascii="Malgun Gothic" w:eastAsia="Malgun Gothic" w:hAnsi="Malgun Gothic" w:cs="Malgun Gothic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정보</w:t>
      </w:r>
    </w:p>
    <w:tbl>
      <w:tblPr>
        <w:tblW w:w="4879" w:type="pct"/>
        <w:jc w:val="center"/>
        <w:tblBorders>
          <w:top w:val="double" w:sz="4" w:space="0" w:color="A5A5A5" w:themeColor="background1" w:themeShade="A5"/>
          <w:left w:val="double" w:sz="4" w:space="0" w:color="A5A5A5" w:themeColor="background1" w:themeShade="A5"/>
          <w:bottom w:val="double" w:sz="4" w:space="0" w:color="A5A5A5" w:themeColor="background1" w:themeShade="A5"/>
          <w:right w:val="double" w:sz="4" w:space="0" w:color="A5A5A5" w:themeColor="background1" w:themeShade="A5"/>
          <w:insideH w:val="double" w:sz="4" w:space="0" w:color="A5A5A5" w:themeColor="background1" w:themeShade="A5"/>
          <w:insideV w:val="double" w:sz="4" w:space="0" w:color="A5A5A5" w:themeColor="background1" w:themeShade="A5"/>
        </w:tblBorders>
        <w:tblLook w:val="04A0" w:firstRow="1" w:lastRow="0" w:firstColumn="1" w:lastColumn="0" w:noHBand="0" w:noVBand="1"/>
      </w:tblPr>
      <w:tblGrid>
        <w:gridCol w:w="3558"/>
        <w:gridCol w:w="6163"/>
      </w:tblGrid>
      <w:tr w:rsidR="00355D3A">
        <w:trPr>
          <w:trHeight w:val="567"/>
          <w:jc w:val="center"/>
        </w:trPr>
        <w:tc>
          <w:tcPr>
            <w:tcW w:w="18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수취인명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上海师范大学</w:t>
            </w:r>
            <w:r>
              <w:rPr>
                <w:rFonts w:ascii="Times New Roman" w:eastAsia="宋体" w:hAnsi="Times New Roman" w:cs="Times New Roman" w:hint="eastAsia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</w:p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SHANGHAI NORMAL UNIVERSITY</w:t>
            </w:r>
          </w:p>
        </w:tc>
      </w:tr>
      <w:tr w:rsidR="00355D3A">
        <w:trPr>
          <w:trHeight w:val="567"/>
          <w:jc w:val="center"/>
        </w:trPr>
        <w:tc>
          <w:tcPr>
            <w:tcW w:w="18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Malgun Gothic" w:hAnsi="宋体" w:cs="Times New Roman" w:hint="eastAsia"/>
                <w:b/>
                <w:color w:val="C45911" w:themeColor="accent2" w:themeShade="BF"/>
                <w:kern w:val="0"/>
                <w:sz w:val="24"/>
                <w:szCs w:val="24"/>
                <w:lang w:eastAsia="ko-KR"/>
              </w:rPr>
              <w:t>인민폐</w:t>
            </w:r>
            <w:r>
              <w:rPr>
                <w:rFonts w:ascii="黑体" w:eastAsia="宋体" w:hAnsi="宋体" w:cs="Times New Roman" w:hint="eastAsia"/>
                <w:b/>
                <w:color w:val="C45911" w:themeColor="accent2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계좌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03387208017004511</w:t>
            </w:r>
          </w:p>
        </w:tc>
      </w:tr>
      <w:tr w:rsidR="00355D3A">
        <w:trPr>
          <w:trHeight w:val="567"/>
          <w:jc w:val="center"/>
        </w:trPr>
        <w:tc>
          <w:tcPr>
            <w:tcW w:w="18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은행명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中国农业银行</w:t>
            </w: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上海市徐汇区桂林支行</w:t>
            </w:r>
          </w:p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GUILIN BRANCH, XUHUI DISTRICT,</w:t>
            </w:r>
            <w:r>
              <w:rPr>
                <w:rFonts w:ascii="Times New Roman" w:eastAsia="宋体" w:hAnsi="Times New Roman" w:cs="Times New Roman" w:hint="eastAsia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SHANGHAI AGRICULTURAL BANK OF CHINA</w:t>
            </w:r>
          </w:p>
        </w:tc>
      </w:tr>
    </w:tbl>
    <w:p w:rsidR="00355D3A" w:rsidRDefault="00355D3A">
      <w:pPr>
        <w:jc w:val="center"/>
        <w:rPr>
          <w:rFonts w:ascii="宋体" w:eastAsia="宋体" w:hAnsi="宋体"/>
          <w:b/>
          <w:bCs/>
          <w:color w:val="FF0000"/>
          <w:sz w:val="24"/>
          <w:szCs w:val="24"/>
        </w:rPr>
      </w:pPr>
    </w:p>
    <w:p w:rsidR="00355D3A" w:rsidRDefault="00FF652B">
      <w:pPr>
        <w:suppressAutoHyphens/>
        <w:rPr>
          <w:rFonts w:ascii="黑体" w:eastAsia="Malgun Gothic" w:hAnsi="宋体" w:cs="Times New Roman"/>
          <w:b/>
          <w:kern w:val="0"/>
          <w:sz w:val="24"/>
          <w:szCs w:val="24"/>
          <w:lang w:eastAsia="ko-KR"/>
        </w:rPr>
      </w:pP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해외송금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시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C45911" w:themeColor="accent2" w:themeShade="BF"/>
          <w:kern w:val="0"/>
          <w:sz w:val="28"/>
          <w:szCs w:val="28"/>
          <w:lang w:eastAsia="ko-KR"/>
        </w:rPr>
        <w:t>미화</w:t>
      </w:r>
      <w:r>
        <w:rPr>
          <w:rFonts w:ascii="黑体" w:eastAsia="宋体" w:hAnsi="宋体" w:cs="Times New Roman" w:hint="eastAsia"/>
          <w:b/>
          <w:color w:val="767171" w:themeColor="background2" w:themeShade="80"/>
          <w:kern w:val="0"/>
          <w:sz w:val="28"/>
          <w:szCs w:val="28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계좌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 xml:space="preserve"> </w:t>
      </w:r>
      <w:r>
        <w:rPr>
          <w:rFonts w:ascii="黑体" w:eastAsia="Malgun Gothic" w:hAnsi="宋体" w:cs="Times New Roman" w:hint="eastAsia"/>
          <w:b/>
          <w:color w:val="767171" w:themeColor="background2" w:themeShade="80"/>
          <w:kern w:val="0"/>
          <w:sz w:val="24"/>
          <w:szCs w:val="24"/>
          <w:lang w:eastAsia="ko-KR"/>
        </w:rPr>
        <w:t>송금계좌정보</w:t>
      </w:r>
    </w:p>
    <w:tbl>
      <w:tblPr>
        <w:tblW w:w="9740" w:type="dxa"/>
        <w:jc w:val="center"/>
        <w:tblCellSpacing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6170"/>
      </w:tblGrid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 w:val="restart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수취인명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上海师范大学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/>
            <w:shd w:val="clear" w:color="auto" w:fill="auto"/>
            <w:vAlign w:val="center"/>
          </w:tcPr>
          <w:p w:rsidR="00355D3A" w:rsidRDefault="00355D3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SHANGHAI NORMAL UNIVERSITY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Malgun Gothic" w:hAnsi="宋体" w:cs="Times New Roman" w:hint="eastAsia"/>
                <w:b/>
                <w:color w:val="C45911" w:themeColor="accent2" w:themeShade="BF"/>
                <w:kern w:val="0"/>
                <w:sz w:val="24"/>
                <w:szCs w:val="24"/>
                <w:lang w:eastAsia="ko-KR"/>
              </w:rPr>
              <w:t>미화</w:t>
            </w:r>
            <w:r>
              <w:rPr>
                <w:rFonts w:ascii="黑体" w:eastAsia="宋体" w:hAnsi="宋体" w:cs="Times New Roman" w:hint="eastAsia"/>
                <w:b/>
                <w:color w:val="C45911" w:themeColor="accent2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은행계좌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441665865071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 w:val="restart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계좌개</w:t>
            </w:r>
            <w:r w:rsidR="00C04335"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설</w:t>
            </w: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은행명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中国银行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上海漕河泾支行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/>
            <w:shd w:val="clear" w:color="auto" w:fill="auto"/>
            <w:vAlign w:val="center"/>
          </w:tcPr>
          <w:p w:rsidR="00355D3A" w:rsidRDefault="00355D3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after="100" w:afterAutospacing="1"/>
              <w:ind w:leftChars="50" w:left="2735" w:hangingChars="1096" w:hanging="263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767171" w:themeColor="background2" w:themeShade="80"/>
                <w:kern w:val="0"/>
                <w:sz w:val="24"/>
                <w:szCs w:val="24"/>
              </w:rPr>
              <w:t>BANK OF CHINA, SHANGHAI CAOHEJING BRANCH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</w:t>
            </w:r>
            <w:r w:rsidR="00812433">
              <w:rPr>
                <w:rFonts w:ascii="Batang" w:eastAsia="Batang" w:hAnsi="Batang" w:cs="Batang" w:hint="eastAsia"/>
                <w:bCs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코드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BKCHCNBJ300 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 w:val="restart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은행주</w:t>
            </w:r>
            <w:bookmarkStart w:id="0" w:name="_GoBack"/>
            <w:bookmarkEnd w:id="0"/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소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上海市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桂平路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391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号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vMerge/>
            <w:shd w:val="clear" w:color="auto" w:fill="auto"/>
            <w:vAlign w:val="center"/>
          </w:tcPr>
          <w:p w:rsidR="00355D3A" w:rsidRDefault="00355D3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767171" w:themeColor="background2" w:themeShade="80"/>
                <w:kern w:val="0"/>
                <w:sz w:val="24"/>
                <w:szCs w:val="24"/>
              </w:rPr>
              <w:t>NO.391 GUIPING ROAD SHANGHAI, P,R.C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은행전화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+86-21-63606360</w:t>
            </w:r>
          </w:p>
        </w:tc>
      </w:tr>
      <w:tr w:rsidR="00355D3A">
        <w:trPr>
          <w:trHeight w:val="567"/>
          <w:tblCellSpacing w:w="7" w:type="dxa"/>
          <w:jc w:val="center"/>
        </w:trPr>
        <w:tc>
          <w:tcPr>
            <w:tcW w:w="3549" w:type="dxa"/>
            <w:shd w:val="clear" w:color="auto" w:fill="auto"/>
            <w:vAlign w:val="center"/>
          </w:tcPr>
          <w:p w:rsidR="00355D3A" w:rsidRDefault="00FF652B">
            <w:pPr>
              <w:widowControl/>
              <w:suppressAutoHyphens/>
              <w:spacing w:line="360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767171" w:themeColor="background2" w:themeShade="80"/>
                <w:kern w:val="0"/>
                <w:sz w:val="24"/>
                <w:szCs w:val="24"/>
                <w:lang w:eastAsia="ko-KR"/>
              </w:rPr>
              <w:t>학교주소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355D3A" w:rsidRDefault="00FF652B">
            <w:pPr>
              <w:widowControl/>
              <w:spacing w:before="100" w:beforeAutospacing="1" w:after="100" w:afterAutospacing="1" w:line="225" w:lineRule="atLeast"/>
              <w:ind w:leftChars="50" w:left="105"/>
              <w:jc w:val="left"/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SHANGHAI </w:t>
            </w:r>
            <w:r>
              <w:rPr>
                <w:rFonts w:ascii="Times New Roman" w:eastAsia="宋体" w:hAnsi="Times New Roman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NORMAL UNIVERSITY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>, </w:t>
            </w:r>
            <w:r>
              <w:rPr>
                <w:rFonts w:ascii="Times New Roman" w:eastAsia="宋体" w:hAnsi="Times New Roman" w:cs="Times New Roman" w:hint="eastAsia"/>
                <w:color w:val="767171" w:themeColor="background2" w:themeShade="80"/>
                <w:kern w:val="0"/>
                <w:sz w:val="24"/>
                <w:szCs w:val="24"/>
              </w:rPr>
              <w:t>NO.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100 </w:t>
            </w:r>
            <w:r>
              <w:rPr>
                <w:rFonts w:ascii="Times New Roman" w:eastAsia="宋体" w:hAnsi="Times New Roman" w:cs="Times New Roman" w:hint="eastAsia"/>
                <w:color w:val="767171" w:themeColor="background2" w:themeShade="80"/>
                <w:kern w:val="0"/>
                <w:sz w:val="24"/>
                <w:szCs w:val="24"/>
              </w:rPr>
              <w:t>GUILIN ROAD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767171" w:themeColor="background2" w:themeShade="80"/>
                <w:kern w:val="0"/>
                <w:sz w:val="24"/>
                <w:szCs w:val="24"/>
              </w:rPr>
              <w:t>SHANGHAI,</w:t>
            </w:r>
            <w:r>
              <w:rPr>
                <w:rFonts w:ascii="Times New Roman" w:eastAsia="宋体" w:hAnsi="Times New Roman" w:cs="Times New Roman"/>
                <w:color w:val="767171" w:themeColor="background2" w:themeShade="80"/>
                <w:kern w:val="0"/>
                <w:sz w:val="24"/>
                <w:szCs w:val="24"/>
              </w:rPr>
              <w:t xml:space="preserve"> 200234 P. R. </w:t>
            </w:r>
            <w:r>
              <w:rPr>
                <w:rFonts w:ascii="Times New Roman" w:eastAsia="宋体" w:hAnsi="Times New Roman" w:cs="Times New Roman" w:hint="eastAsia"/>
                <w:color w:val="767171" w:themeColor="background2" w:themeShade="80"/>
                <w:kern w:val="0"/>
                <w:sz w:val="24"/>
                <w:szCs w:val="24"/>
              </w:rPr>
              <w:t>CHINA</w:t>
            </w:r>
          </w:p>
        </w:tc>
      </w:tr>
    </w:tbl>
    <w:p w:rsidR="00355D3A" w:rsidRDefault="00355D3A">
      <w:pPr>
        <w:spacing w:line="360" w:lineRule="auto"/>
        <w:ind w:firstLineChars="200" w:firstLine="400"/>
        <w:rPr>
          <w:rFonts w:ascii="宋体" w:eastAsia="宋体" w:hAnsi="宋体" w:cs="Times New Roman"/>
          <w:sz w:val="20"/>
          <w:szCs w:val="20"/>
        </w:rPr>
      </w:pPr>
    </w:p>
    <w:p w:rsidR="00355D3A" w:rsidRDefault="00FF652B">
      <w:pP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</w:pP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송금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후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은행송금내역서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,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학생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본인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중문·영문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성함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,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학번을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iccs@shnu.edu.cn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메일로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 xml:space="preserve"> </w:t>
      </w:r>
      <w:r>
        <w:rPr>
          <w:rFonts w:ascii="Batang" w:eastAsia="Batang" w:hAnsi="Batang" w:cs="Batang" w:hint="eastAsia"/>
          <w:b/>
          <w:bCs/>
          <w:color w:val="C45911" w:themeColor="accent2" w:themeShade="BF"/>
          <w:szCs w:val="21"/>
          <w:lang w:eastAsia="ko-KR"/>
        </w:rPr>
        <w:t>보내주세요</w:t>
      </w:r>
      <w:r>
        <w:rPr>
          <w:rFonts w:ascii="Batang" w:eastAsia="Batang" w:hAnsi="Batang" w:cs="Batang"/>
          <w:b/>
          <w:bCs/>
          <w:color w:val="C45911" w:themeColor="accent2" w:themeShade="BF"/>
          <w:szCs w:val="21"/>
          <w:lang w:eastAsia="ko-KR"/>
        </w:rPr>
        <w:t>.</w:t>
      </w:r>
    </w:p>
    <w:p w:rsidR="00355D3A" w:rsidRDefault="00355D3A">
      <w:pPr>
        <w:rPr>
          <w:lang w:eastAsia="ko-KR"/>
        </w:rPr>
      </w:pPr>
    </w:p>
    <w:sectPr w:rsidR="00355D3A">
      <w:pgSz w:w="11906" w:h="16838"/>
      <w:pgMar w:top="1440" w:right="1080" w:bottom="30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2B" w:rsidRDefault="00FF652B" w:rsidP="00C04335">
      <w:r>
        <w:separator/>
      </w:r>
    </w:p>
  </w:endnote>
  <w:endnote w:type="continuationSeparator" w:id="0">
    <w:p w:rsidR="00FF652B" w:rsidRDefault="00FF652B" w:rsidP="00C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2B" w:rsidRDefault="00FF652B" w:rsidP="00C04335">
      <w:r>
        <w:separator/>
      </w:r>
    </w:p>
  </w:footnote>
  <w:footnote w:type="continuationSeparator" w:id="0">
    <w:p w:rsidR="00FF652B" w:rsidRDefault="00FF652B" w:rsidP="00C04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jVkNzE5MzViZDU2ZTljZmY2ZTBiNzI1Zjk5ZWMifQ=="/>
  </w:docVars>
  <w:rsids>
    <w:rsidRoot w:val="3264118F"/>
    <w:rsid w:val="00355D3A"/>
    <w:rsid w:val="00812433"/>
    <w:rsid w:val="00C04335"/>
    <w:rsid w:val="00FF652B"/>
    <w:rsid w:val="326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10F437-7726-45B1-9242-B50370E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4335"/>
    <w:rPr>
      <w:kern w:val="2"/>
      <w:sz w:val="18"/>
      <w:szCs w:val="18"/>
    </w:rPr>
  </w:style>
  <w:style w:type="paragraph" w:styleId="a5">
    <w:name w:val="footer"/>
    <w:basedOn w:val="a"/>
    <w:link w:val="a6"/>
    <w:rsid w:val="00C04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43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潘晨凤</dc:creator>
  <cp:lastModifiedBy>iccs</cp:lastModifiedBy>
  <cp:revision>3</cp:revision>
  <dcterms:created xsi:type="dcterms:W3CDTF">2022-09-29T02:54:00Z</dcterms:created>
  <dcterms:modified xsi:type="dcterms:W3CDTF">2023-04-04T07:46:00Z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C18CEA6B53B84E4D9B009BD70E220DE7</vt:lpwstr>
  </property>
</Properties>
</file>